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B5" w:rsidRPr="000E20CC" w:rsidRDefault="000E20CC">
      <w:pPr>
        <w:spacing w:after="948"/>
        <w:ind w:left="2194"/>
        <w:rPr>
          <w:rFonts w:ascii="Tw Cen MT" w:hAnsi="Tw Cen MT"/>
          <w:sz w:val="32"/>
          <w:szCs w:val="26"/>
        </w:rPr>
      </w:pPr>
      <w:r w:rsidRPr="000E20CC">
        <w:rPr>
          <w:rFonts w:ascii="Tw Cen MT" w:eastAsia="Courier New" w:hAnsi="Tw Cen MT" w:cs="Courier New"/>
          <w:sz w:val="32"/>
          <w:szCs w:val="26"/>
        </w:rPr>
        <w:t>Mécanisme de Gestion des Doléances</w:t>
      </w:r>
    </w:p>
    <w:p w:rsidR="001B2FB5" w:rsidRPr="000E20CC" w:rsidRDefault="000E20CC" w:rsidP="008C3888">
      <w:pPr>
        <w:spacing w:after="417"/>
        <w:ind w:left="72"/>
        <w:rPr>
          <w:rFonts w:ascii="Tw Cen MT" w:hAnsi="Tw Cen MT"/>
          <w:sz w:val="26"/>
          <w:szCs w:val="26"/>
        </w:rPr>
      </w:pPr>
      <w:r w:rsidRPr="000E20CC">
        <w:rPr>
          <w:rFonts w:ascii="Tw Cen MT" w:hAnsi="Tw Cen MT"/>
          <w:sz w:val="26"/>
          <w:szCs w:val="26"/>
        </w:rPr>
        <w:t xml:space="preserve">TITRE DU PROJET : </w:t>
      </w:r>
      <w:bookmarkStart w:id="0" w:name="_GoBack"/>
      <w:bookmarkEnd w:id="0"/>
    </w:p>
    <w:p w:rsidR="001B2FB5" w:rsidRPr="000E20CC" w:rsidRDefault="000E20CC">
      <w:pPr>
        <w:tabs>
          <w:tab w:val="center" w:pos="353"/>
          <w:tab w:val="center" w:pos="2678"/>
        </w:tabs>
        <w:spacing w:after="451" w:line="290" w:lineRule="auto"/>
        <w:rPr>
          <w:rFonts w:ascii="Tw Cen MT" w:hAnsi="Tw Cen MT"/>
          <w:sz w:val="26"/>
          <w:szCs w:val="26"/>
        </w:rPr>
      </w:pPr>
      <w:r w:rsidRPr="000E20CC">
        <w:rPr>
          <w:rFonts w:ascii="Tw Cen MT" w:hAnsi="Tw Cen MT"/>
          <w:sz w:val="26"/>
          <w:szCs w:val="26"/>
        </w:rPr>
        <w:tab/>
      </w:r>
      <w:r w:rsidRPr="000E20CC">
        <w:rPr>
          <w:rFonts w:ascii="Tw Cen MT" w:eastAsia="Courier New" w:hAnsi="Tw Cen MT" w:cs="Courier New"/>
          <w:sz w:val="26"/>
          <w:szCs w:val="26"/>
        </w:rPr>
        <w:t>I.</w:t>
      </w:r>
      <w:r w:rsidRPr="000E20CC">
        <w:rPr>
          <w:rFonts w:ascii="Tw Cen MT" w:eastAsia="Courier New" w:hAnsi="Tw Cen MT" w:cs="Courier New"/>
          <w:sz w:val="26"/>
          <w:szCs w:val="26"/>
        </w:rPr>
        <w:tab/>
        <w:t>Dépôt et Recevabilité de la Doléance</w:t>
      </w:r>
    </w:p>
    <w:p w:rsidR="001B2FB5" w:rsidRPr="000E20CC" w:rsidRDefault="000E20CC">
      <w:pPr>
        <w:pStyle w:val="Titre1"/>
        <w:rPr>
          <w:rFonts w:ascii="Tw Cen MT" w:hAnsi="Tw Cen MT"/>
          <w:sz w:val="26"/>
          <w:szCs w:val="26"/>
        </w:rPr>
      </w:pPr>
      <w:r w:rsidRPr="000E20CC">
        <w:rPr>
          <w:rFonts w:ascii="Tw Cen MT" w:hAnsi="Tw Cen MT"/>
          <w:sz w:val="26"/>
          <w:szCs w:val="26"/>
        </w:rPr>
        <w:t>1. Mode Dépôt du Dossier de la Doléance</w:t>
      </w:r>
    </w:p>
    <w:p w:rsidR="001B2FB5" w:rsidRPr="000E20CC" w:rsidRDefault="000E20CC">
      <w:pPr>
        <w:spacing w:after="197" w:line="265" w:lineRule="auto"/>
        <w:ind w:left="72" w:hanging="5"/>
        <w:rPr>
          <w:rFonts w:ascii="Tw Cen MT" w:hAnsi="Tw Cen MT"/>
          <w:sz w:val="26"/>
          <w:szCs w:val="26"/>
        </w:rPr>
      </w:pPr>
      <w:r w:rsidRPr="000E20CC">
        <w:rPr>
          <w:rFonts w:ascii="Tw Cen MT" w:eastAsia="Courier New" w:hAnsi="Tw Cen MT" w:cs="Courier New"/>
          <w:sz w:val="26"/>
          <w:szCs w:val="26"/>
        </w:rPr>
        <w:t>Pour l'admission d'une requête d'une Doléance, le Requérant doit déposer un dossier auprès du Porteur du Projet soit par</w:t>
      </w:r>
    </w:p>
    <w:p w:rsidR="001B2FB5" w:rsidRPr="000E20CC" w:rsidRDefault="000E20CC">
      <w:pPr>
        <w:numPr>
          <w:ilvl w:val="0"/>
          <w:numId w:val="1"/>
        </w:numPr>
        <w:spacing w:after="197" w:line="265" w:lineRule="auto"/>
        <w:ind w:hanging="288"/>
        <w:rPr>
          <w:rFonts w:ascii="Tw Cen MT" w:hAnsi="Tw Cen MT"/>
          <w:sz w:val="26"/>
          <w:szCs w:val="26"/>
        </w:rPr>
      </w:pPr>
      <w:r w:rsidRPr="000E20CC">
        <w:rPr>
          <w:rFonts w:ascii="Tw Cen MT" w:eastAsia="Courier New" w:hAnsi="Tw Cen MT" w:cs="Courier New"/>
          <w:sz w:val="26"/>
          <w:szCs w:val="26"/>
        </w:rPr>
        <w:t xml:space="preserve">Siège du PP au boite postale n </w:t>
      </w:r>
      <w:r w:rsidRPr="000E20CC">
        <w:rPr>
          <w:rFonts w:ascii="Tw Cen MT" w:eastAsia="Courier New" w:hAnsi="Tw Cen MT" w:cs="Courier New"/>
          <w:sz w:val="26"/>
          <w:szCs w:val="26"/>
          <w:vertAlign w:val="superscript"/>
        </w:rPr>
        <w:t xml:space="preserve">o </w:t>
      </w:r>
      <w:r w:rsidRPr="000E20CC">
        <w:rPr>
          <w:rFonts w:ascii="Tw Cen MT" w:eastAsia="Courier New" w:hAnsi="Tw Cen MT" w:cs="Courier New"/>
          <w:sz w:val="26"/>
          <w:szCs w:val="26"/>
        </w:rPr>
        <w:t>……….</w:t>
      </w:r>
    </w:p>
    <w:p w:rsidR="001B2FB5" w:rsidRPr="000E20CC" w:rsidRDefault="000E20CC">
      <w:pPr>
        <w:numPr>
          <w:ilvl w:val="0"/>
          <w:numId w:val="1"/>
        </w:numPr>
        <w:spacing w:after="126"/>
        <w:ind w:hanging="288"/>
        <w:rPr>
          <w:rFonts w:ascii="Tw Cen MT" w:hAnsi="Tw Cen MT"/>
          <w:sz w:val="26"/>
          <w:szCs w:val="26"/>
        </w:rPr>
      </w:pPr>
      <w:r w:rsidRPr="000E20CC">
        <w:rPr>
          <w:rFonts w:ascii="Tw Cen MT" w:eastAsia="Courier New" w:hAnsi="Tw Cen MT" w:cs="Courier New"/>
          <w:sz w:val="26"/>
          <w:szCs w:val="26"/>
        </w:rPr>
        <w:t>E-mail du PP à : ……….</w:t>
      </w:r>
    </w:p>
    <w:p w:rsidR="001B2FB5" w:rsidRPr="000E20CC" w:rsidRDefault="000E20CC">
      <w:pPr>
        <w:numPr>
          <w:ilvl w:val="0"/>
          <w:numId w:val="1"/>
        </w:numPr>
        <w:spacing w:after="695" w:line="265" w:lineRule="auto"/>
        <w:ind w:hanging="288"/>
        <w:rPr>
          <w:rFonts w:ascii="Tw Cen MT" w:hAnsi="Tw Cen MT"/>
          <w:sz w:val="26"/>
          <w:szCs w:val="26"/>
        </w:rPr>
      </w:pPr>
      <w:r w:rsidRPr="000E20CC">
        <w:rPr>
          <w:rFonts w:ascii="Tw Cen MT" w:eastAsia="Courier New" w:hAnsi="Tw Cen MT" w:cs="Courier New"/>
          <w:sz w:val="26"/>
          <w:szCs w:val="26"/>
        </w:rPr>
        <w:t>Bureau Chantier ouvert lors de la réalisation des travaux.</w:t>
      </w:r>
    </w:p>
    <w:p w:rsidR="001B2FB5" w:rsidRPr="000E20CC" w:rsidRDefault="000E20CC">
      <w:pPr>
        <w:pStyle w:val="Titre1"/>
        <w:ind w:left="379"/>
        <w:rPr>
          <w:rFonts w:ascii="Tw Cen MT" w:hAnsi="Tw Cen MT"/>
          <w:sz w:val="26"/>
          <w:szCs w:val="26"/>
        </w:rPr>
      </w:pPr>
      <w:r w:rsidRPr="000E20CC">
        <w:rPr>
          <w:rFonts w:ascii="Tw Cen MT" w:hAnsi="Tw Cen MT"/>
          <w:sz w:val="26"/>
          <w:szCs w:val="26"/>
        </w:rPr>
        <w:t>2. Recevabilité du Dossier de la Doléance</w:t>
      </w:r>
    </w:p>
    <w:p w:rsidR="001B2FB5" w:rsidRPr="000E20CC" w:rsidRDefault="000E20CC">
      <w:pPr>
        <w:spacing w:after="202" w:line="250" w:lineRule="auto"/>
        <w:ind w:left="63" w:hanging="5"/>
        <w:jc w:val="both"/>
        <w:rPr>
          <w:rFonts w:ascii="Tw Cen MT" w:hAnsi="Tw Cen MT"/>
          <w:sz w:val="26"/>
          <w:szCs w:val="26"/>
        </w:rPr>
      </w:pPr>
      <w:r w:rsidRPr="000E20CC">
        <w:rPr>
          <w:rFonts w:ascii="Tw Cen MT" w:eastAsia="Courier New" w:hAnsi="Tw Cen MT" w:cs="Courier New"/>
          <w:sz w:val="26"/>
          <w:szCs w:val="26"/>
        </w:rPr>
        <w:t>Pour la recevabilité du dossier de doléance, le PP (ou MO) s'engage à vérifier les cinq éléments suivants.</w:t>
      </w:r>
    </w:p>
    <w:p w:rsidR="001B2FB5" w:rsidRPr="000E20CC" w:rsidRDefault="000E20CC">
      <w:pPr>
        <w:numPr>
          <w:ilvl w:val="0"/>
          <w:numId w:val="2"/>
        </w:numPr>
        <w:spacing w:after="202" w:line="250" w:lineRule="auto"/>
        <w:ind w:hanging="288"/>
        <w:jc w:val="both"/>
        <w:rPr>
          <w:rFonts w:ascii="Tw Cen MT" w:hAnsi="Tw Cen MT"/>
          <w:sz w:val="26"/>
          <w:szCs w:val="26"/>
        </w:rPr>
      </w:pPr>
      <w:r w:rsidRPr="000E20CC">
        <w:rPr>
          <w:rFonts w:ascii="Tw Cen MT" w:eastAsia="Courier New" w:hAnsi="Tw Cen MT" w:cs="Courier New"/>
          <w:sz w:val="26"/>
          <w:szCs w:val="26"/>
        </w:rPr>
        <w:t>L 'Identité du Requérant et ses Coordonnées</w:t>
      </w:r>
    </w:p>
    <w:p w:rsidR="001B2FB5" w:rsidRPr="000E20CC" w:rsidRDefault="000E20CC">
      <w:pPr>
        <w:numPr>
          <w:ilvl w:val="0"/>
          <w:numId w:val="2"/>
        </w:numPr>
        <w:spacing w:after="202" w:line="250" w:lineRule="auto"/>
        <w:ind w:hanging="288"/>
        <w:jc w:val="both"/>
        <w:rPr>
          <w:rFonts w:ascii="Tw Cen MT" w:hAnsi="Tw Cen MT"/>
          <w:sz w:val="26"/>
          <w:szCs w:val="26"/>
        </w:rPr>
      </w:pPr>
      <w:r w:rsidRPr="000E20CC">
        <w:rPr>
          <w:rFonts w:ascii="Tw Cen MT" w:eastAsia="Courier New" w:hAnsi="Tw Cen MT" w:cs="Courier New"/>
          <w:sz w:val="26"/>
          <w:szCs w:val="26"/>
        </w:rPr>
        <w:t>L 'objet de la Doléance</w:t>
      </w:r>
    </w:p>
    <w:p w:rsidR="001B2FB5" w:rsidRPr="000E20CC" w:rsidRDefault="000E20CC">
      <w:pPr>
        <w:numPr>
          <w:ilvl w:val="0"/>
          <w:numId w:val="2"/>
        </w:numPr>
        <w:spacing w:after="202" w:line="250" w:lineRule="auto"/>
        <w:ind w:hanging="288"/>
        <w:jc w:val="both"/>
        <w:rPr>
          <w:rFonts w:ascii="Tw Cen MT" w:hAnsi="Tw Cen MT"/>
          <w:sz w:val="26"/>
          <w:szCs w:val="26"/>
        </w:rPr>
      </w:pPr>
      <w:r w:rsidRPr="000E20CC">
        <w:rPr>
          <w:rFonts w:ascii="Tw Cen MT" w:eastAsia="Courier New" w:hAnsi="Tw Cen MT" w:cs="Courier New"/>
          <w:sz w:val="26"/>
          <w:szCs w:val="26"/>
        </w:rPr>
        <w:t>La Description et les motifs de la Doléance</w:t>
      </w:r>
    </w:p>
    <w:p w:rsidR="001B2FB5" w:rsidRPr="000E20CC" w:rsidRDefault="000E20CC">
      <w:pPr>
        <w:numPr>
          <w:ilvl w:val="0"/>
          <w:numId w:val="2"/>
        </w:numPr>
        <w:spacing w:after="238" w:line="250" w:lineRule="auto"/>
        <w:ind w:hanging="288"/>
        <w:jc w:val="both"/>
        <w:rPr>
          <w:rFonts w:ascii="Tw Cen MT" w:hAnsi="Tw Cen MT"/>
          <w:sz w:val="26"/>
          <w:szCs w:val="26"/>
        </w:rPr>
      </w:pPr>
      <w:r w:rsidRPr="000E20CC">
        <w:rPr>
          <w:rFonts w:ascii="Tw Cen MT" w:eastAsia="Courier New" w:hAnsi="Tw Cen MT" w:cs="Courier New"/>
          <w:sz w:val="26"/>
          <w:szCs w:val="26"/>
        </w:rPr>
        <w:t>Les Mesures correctives demandées</w:t>
      </w:r>
    </w:p>
    <w:p w:rsidR="000E20CC" w:rsidRPr="000E20CC" w:rsidRDefault="000E20CC" w:rsidP="000E20CC">
      <w:pPr>
        <w:numPr>
          <w:ilvl w:val="0"/>
          <w:numId w:val="2"/>
        </w:numPr>
        <w:spacing w:after="564" w:line="250" w:lineRule="auto"/>
        <w:ind w:hanging="288"/>
        <w:jc w:val="both"/>
        <w:rPr>
          <w:rFonts w:ascii="Tw Cen MT" w:hAnsi="Tw Cen MT"/>
          <w:sz w:val="26"/>
          <w:szCs w:val="26"/>
        </w:rPr>
      </w:pPr>
      <w:r w:rsidRPr="000E20CC">
        <w:rPr>
          <w:rFonts w:ascii="Tw Cen MT" w:eastAsia="Courier New" w:hAnsi="Tw Cen MT" w:cs="Courier New"/>
          <w:sz w:val="26"/>
          <w:szCs w:val="26"/>
        </w:rPr>
        <w:t>Les pièces justificatives nécessaires</w:t>
      </w:r>
    </w:p>
    <w:p w:rsidR="001B2FB5" w:rsidRPr="000E20CC" w:rsidRDefault="000E20CC">
      <w:pPr>
        <w:tabs>
          <w:tab w:val="center" w:pos="2304"/>
        </w:tabs>
        <w:spacing w:after="451" w:line="290" w:lineRule="auto"/>
        <w:rPr>
          <w:rFonts w:ascii="Tw Cen MT" w:hAnsi="Tw Cen MT"/>
          <w:sz w:val="26"/>
          <w:szCs w:val="26"/>
        </w:rPr>
      </w:pPr>
      <w:r w:rsidRPr="000E20CC">
        <w:rPr>
          <w:rFonts w:ascii="Tw Cen MT" w:eastAsia="Courier New" w:hAnsi="Tw Cen MT" w:cs="Courier New"/>
          <w:sz w:val="26"/>
          <w:szCs w:val="26"/>
        </w:rPr>
        <w:t>II.</w:t>
      </w:r>
      <w:r w:rsidRPr="000E20CC">
        <w:rPr>
          <w:rFonts w:ascii="Tw Cen MT" w:eastAsia="Courier New" w:hAnsi="Tw Cen MT" w:cs="Courier New"/>
          <w:sz w:val="26"/>
          <w:szCs w:val="26"/>
        </w:rPr>
        <w:tab/>
        <w:t>Le Traitement de la Doléance</w:t>
      </w:r>
    </w:p>
    <w:p w:rsidR="001B2FB5" w:rsidRPr="000E20CC" w:rsidRDefault="000E20CC">
      <w:pPr>
        <w:pStyle w:val="Titre1"/>
        <w:ind w:left="379"/>
        <w:rPr>
          <w:rFonts w:ascii="Tw Cen MT" w:hAnsi="Tw Cen MT"/>
          <w:sz w:val="26"/>
          <w:szCs w:val="26"/>
        </w:rPr>
      </w:pPr>
      <w:r w:rsidRPr="000E20CC">
        <w:rPr>
          <w:rFonts w:ascii="Tw Cen MT" w:hAnsi="Tw Cen MT"/>
          <w:sz w:val="26"/>
          <w:szCs w:val="26"/>
        </w:rPr>
        <w:t>1. Réception de la Doléance</w:t>
      </w:r>
    </w:p>
    <w:p w:rsidR="001B2FB5" w:rsidRPr="000E20CC" w:rsidRDefault="000E20CC">
      <w:pPr>
        <w:spacing w:after="202" w:line="250" w:lineRule="auto"/>
        <w:ind w:left="43" w:hanging="5"/>
        <w:jc w:val="both"/>
        <w:rPr>
          <w:rFonts w:ascii="Tw Cen MT" w:hAnsi="Tw Cen MT"/>
          <w:sz w:val="26"/>
          <w:szCs w:val="26"/>
        </w:rPr>
      </w:pPr>
      <w:r w:rsidRPr="000E20CC">
        <w:rPr>
          <w:rFonts w:ascii="Tw Cen MT" w:eastAsia="Courier New" w:hAnsi="Tw Cen MT" w:cs="Courier New"/>
          <w:sz w:val="26"/>
          <w:szCs w:val="26"/>
        </w:rPr>
        <w:t>Le PP (ou MO) s'engage à fournir l’Accusé de Réception de la Doléance Requérant et de l'informer sur les étapes suivantes</w:t>
      </w:r>
    </w:p>
    <w:p w:rsidR="001B2FB5" w:rsidRPr="000E20CC" w:rsidRDefault="000E20CC">
      <w:pPr>
        <w:pStyle w:val="Titre1"/>
        <w:ind w:left="379"/>
        <w:rPr>
          <w:rFonts w:ascii="Tw Cen MT" w:hAnsi="Tw Cen MT"/>
          <w:sz w:val="26"/>
          <w:szCs w:val="26"/>
        </w:rPr>
      </w:pPr>
      <w:r w:rsidRPr="000E20CC">
        <w:rPr>
          <w:rFonts w:ascii="Tw Cen MT" w:eastAsia="Times New Roman" w:hAnsi="Tw Cen MT" w:cs="Times New Roman"/>
          <w:sz w:val="26"/>
          <w:szCs w:val="26"/>
        </w:rPr>
        <w:lastRenderedPageBreak/>
        <w:t>2. Enregistrement de la Doléance</w:t>
      </w:r>
    </w:p>
    <w:p w:rsidR="001B2FB5" w:rsidRPr="000E20CC" w:rsidRDefault="000E20CC">
      <w:pPr>
        <w:spacing w:after="676" w:line="250" w:lineRule="auto"/>
        <w:ind w:left="29" w:right="499" w:hanging="5"/>
        <w:jc w:val="both"/>
        <w:rPr>
          <w:rFonts w:ascii="Tw Cen MT" w:hAnsi="Tw Cen MT"/>
          <w:sz w:val="26"/>
          <w:szCs w:val="26"/>
        </w:rPr>
      </w:pPr>
      <w:r w:rsidRPr="000E20CC">
        <w:rPr>
          <w:rFonts w:ascii="Tw Cen MT" w:hAnsi="Tw Cen MT"/>
          <w:sz w:val="26"/>
          <w:szCs w:val="26"/>
        </w:rPr>
        <w:t>Le PP (ou MO) s'engage à enregistrer la Doléance et à établir une Fiche de Suivi sur des Supports Physiques notamment des Registres (lorsque la requête est déposée au niveau du chantier) et sur Supports Electroniques Word (lorsque la requête est déposée par mail).</w:t>
      </w:r>
    </w:p>
    <w:p w:rsidR="001B2FB5" w:rsidRPr="000E20CC" w:rsidRDefault="000E20CC">
      <w:pPr>
        <w:pStyle w:val="Titre1"/>
        <w:spacing w:after="405"/>
        <w:ind w:left="379"/>
        <w:rPr>
          <w:rFonts w:ascii="Tw Cen MT" w:hAnsi="Tw Cen MT"/>
          <w:sz w:val="26"/>
          <w:szCs w:val="26"/>
        </w:rPr>
      </w:pPr>
      <w:r w:rsidRPr="000E20CC">
        <w:rPr>
          <w:rFonts w:ascii="Tw Cen MT" w:eastAsia="Times New Roman" w:hAnsi="Tw Cen MT" w:cs="Times New Roman"/>
          <w:sz w:val="26"/>
          <w:szCs w:val="26"/>
        </w:rPr>
        <w:t>3. Analyse de la Doléance</w:t>
      </w:r>
    </w:p>
    <w:p w:rsidR="001B2FB5" w:rsidRPr="000E20CC" w:rsidRDefault="000E20CC">
      <w:pPr>
        <w:spacing w:after="103" w:line="265" w:lineRule="auto"/>
        <w:ind w:left="29" w:hanging="10"/>
        <w:rPr>
          <w:rFonts w:ascii="Tw Cen MT" w:hAnsi="Tw Cen MT"/>
          <w:sz w:val="26"/>
          <w:szCs w:val="26"/>
        </w:rPr>
      </w:pPr>
      <w:r w:rsidRPr="000E20CC">
        <w:rPr>
          <w:rFonts w:ascii="Tw Cen MT" w:hAnsi="Tw Cen MT"/>
          <w:sz w:val="26"/>
          <w:szCs w:val="26"/>
        </w:rPr>
        <w:t>Le PP (ou MO) s'engage à :</w:t>
      </w:r>
    </w:p>
    <w:p w:rsidR="001B2FB5" w:rsidRPr="000E20CC" w:rsidRDefault="000E20CC">
      <w:pPr>
        <w:numPr>
          <w:ilvl w:val="0"/>
          <w:numId w:val="3"/>
        </w:numPr>
        <w:spacing w:after="202" w:line="250" w:lineRule="auto"/>
        <w:ind w:hanging="312"/>
        <w:jc w:val="both"/>
        <w:rPr>
          <w:rFonts w:ascii="Tw Cen MT" w:hAnsi="Tw Cen MT"/>
          <w:sz w:val="26"/>
          <w:szCs w:val="26"/>
        </w:rPr>
      </w:pPr>
      <w:r w:rsidRPr="000E20CC">
        <w:rPr>
          <w:rFonts w:ascii="Tw Cen MT" w:hAnsi="Tw Cen MT"/>
          <w:sz w:val="26"/>
          <w:szCs w:val="26"/>
        </w:rPr>
        <w:t>Vérifier les Pièces Justificatives</w:t>
      </w:r>
    </w:p>
    <w:p w:rsidR="001B2FB5" w:rsidRPr="000E20CC" w:rsidRDefault="000E20CC">
      <w:pPr>
        <w:numPr>
          <w:ilvl w:val="0"/>
          <w:numId w:val="3"/>
        </w:numPr>
        <w:spacing w:after="146" w:line="250" w:lineRule="auto"/>
        <w:ind w:hanging="312"/>
        <w:jc w:val="both"/>
        <w:rPr>
          <w:rFonts w:ascii="Tw Cen MT" w:hAnsi="Tw Cen MT"/>
          <w:sz w:val="26"/>
          <w:szCs w:val="26"/>
        </w:rPr>
      </w:pPr>
      <w:r w:rsidRPr="000E20CC">
        <w:rPr>
          <w:rFonts w:ascii="Tw Cen MT" w:hAnsi="Tw Cen MT"/>
          <w:sz w:val="26"/>
          <w:szCs w:val="26"/>
        </w:rPr>
        <w:t>Demander le Complément d 'Information</w:t>
      </w:r>
    </w:p>
    <w:p w:rsidR="001B2FB5" w:rsidRPr="000E20CC" w:rsidRDefault="000E20CC">
      <w:pPr>
        <w:numPr>
          <w:ilvl w:val="0"/>
          <w:numId w:val="3"/>
        </w:numPr>
        <w:spacing w:after="202" w:line="250" w:lineRule="auto"/>
        <w:ind w:hanging="312"/>
        <w:jc w:val="both"/>
        <w:rPr>
          <w:rFonts w:ascii="Tw Cen MT" w:hAnsi="Tw Cen MT"/>
          <w:sz w:val="26"/>
          <w:szCs w:val="26"/>
        </w:rPr>
      </w:pPr>
      <w:r w:rsidRPr="000E20CC">
        <w:rPr>
          <w:rFonts w:ascii="Tw Cen MT" w:hAnsi="Tw Cen MT"/>
          <w:sz w:val="26"/>
          <w:szCs w:val="26"/>
        </w:rPr>
        <w:t>Effectuer une Visite des lieux au besoin</w:t>
      </w:r>
    </w:p>
    <w:p w:rsidR="001B2FB5" w:rsidRPr="000E20CC" w:rsidRDefault="000E20CC">
      <w:pPr>
        <w:pStyle w:val="Titre1"/>
        <w:ind w:left="379"/>
        <w:rPr>
          <w:rFonts w:ascii="Tw Cen MT" w:hAnsi="Tw Cen MT"/>
          <w:sz w:val="26"/>
          <w:szCs w:val="26"/>
        </w:rPr>
      </w:pPr>
      <w:r w:rsidRPr="000E20CC">
        <w:rPr>
          <w:rFonts w:ascii="Tw Cen MT" w:eastAsia="Times New Roman" w:hAnsi="Tw Cen MT" w:cs="Times New Roman"/>
          <w:sz w:val="26"/>
          <w:szCs w:val="26"/>
        </w:rPr>
        <w:t>4. Réponse Analyse de la Doléance</w:t>
      </w:r>
    </w:p>
    <w:p w:rsidR="001B2FB5" w:rsidRPr="000E20CC" w:rsidRDefault="000E20CC">
      <w:pPr>
        <w:spacing w:after="202" w:line="250" w:lineRule="auto"/>
        <w:ind w:left="10" w:hanging="5"/>
        <w:jc w:val="both"/>
        <w:rPr>
          <w:rFonts w:ascii="Tw Cen MT" w:hAnsi="Tw Cen MT"/>
          <w:sz w:val="26"/>
          <w:szCs w:val="26"/>
        </w:rPr>
      </w:pPr>
      <w:r w:rsidRPr="000E20CC">
        <w:rPr>
          <w:rFonts w:ascii="Tw Cen MT" w:hAnsi="Tw Cen MT"/>
          <w:sz w:val="26"/>
          <w:szCs w:val="26"/>
        </w:rPr>
        <w:t>Le PP (ou MO) s'engage à informer le demandeur de la Doléance des résultats du Traitement de son Dossier dans un délai compris entre 30 et 60 jours.</w:t>
      </w:r>
    </w:p>
    <w:p w:rsidR="001B2FB5" w:rsidRPr="000E20CC" w:rsidRDefault="000E20CC">
      <w:pPr>
        <w:spacing w:after="401" w:line="265" w:lineRule="auto"/>
        <w:ind w:left="379" w:hanging="10"/>
        <w:rPr>
          <w:rFonts w:ascii="Tw Cen MT" w:hAnsi="Tw Cen MT"/>
          <w:sz w:val="26"/>
          <w:szCs w:val="26"/>
        </w:rPr>
      </w:pPr>
      <w:r w:rsidRPr="000E20CC">
        <w:rPr>
          <w:rFonts w:ascii="Tw Cen MT" w:hAnsi="Tw Cen MT"/>
          <w:sz w:val="26"/>
          <w:szCs w:val="26"/>
        </w:rPr>
        <w:t>5. Clôture du Dossier de la Doléance</w:t>
      </w:r>
    </w:p>
    <w:p w:rsidR="001B2FB5" w:rsidRPr="000E20CC" w:rsidRDefault="000E20CC">
      <w:pPr>
        <w:spacing w:after="113" w:line="250" w:lineRule="auto"/>
        <w:ind w:left="5" w:hanging="5"/>
        <w:jc w:val="both"/>
        <w:rPr>
          <w:rFonts w:ascii="Tw Cen MT" w:hAnsi="Tw Cen MT"/>
          <w:sz w:val="26"/>
          <w:szCs w:val="26"/>
        </w:rPr>
      </w:pPr>
      <w:r w:rsidRPr="000E20CC">
        <w:rPr>
          <w:rFonts w:ascii="Tw Cen MT" w:hAnsi="Tw Cen MT"/>
          <w:sz w:val="26"/>
          <w:szCs w:val="26"/>
        </w:rPr>
        <w:t>Le PP (ou MO) s'engage à clore le Traitement d'une Doléance, selon les cas suivants :</w:t>
      </w:r>
    </w:p>
    <w:p w:rsidR="001B2FB5" w:rsidRPr="000E20CC" w:rsidRDefault="000E20CC">
      <w:pPr>
        <w:numPr>
          <w:ilvl w:val="0"/>
          <w:numId w:val="4"/>
        </w:numPr>
        <w:spacing w:after="0" w:line="265" w:lineRule="auto"/>
        <w:ind w:hanging="288"/>
        <w:rPr>
          <w:rFonts w:ascii="Tw Cen MT" w:hAnsi="Tw Cen MT"/>
          <w:sz w:val="26"/>
          <w:szCs w:val="26"/>
        </w:rPr>
      </w:pPr>
      <w:r w:rsidRPr="000E20CC">
        <w:rPr>
          <w:rFonts w:ascii="Tw Cen MT" w:hAnsi="Tw Cen MT"/>
          <w:sz w:val="26"/>
          <w:szCs w:val="26"/>
        </w:rPr>
        <w:t>Si le requérant est satisfait : clôture et Archivage du Dossier</w:t>
      </w:r>
    </w:p>
    <w:p w:rsidR="001B2FB5" w:rsidRPr="000E20CC" w:rsidRDefault="000E20CC">
      <w:pPr>
        <w:numPr>
          <w:ilvl w:val="0"/>
          <w:numId w:val="4"/>
        </w:numPr>
        <w:spacing w:after="140" w:line="250" w:lineRule="auto"/>
        <w:ind w:hanging="288"/>
        <w:rPr>
          <w:rFonts w:ascii="Tw Cen MT" w:hAnsi="Tw Cen MT"/>
          <w:sz w:val="26"/>
          <w:szCs w:val="26"/>
        </w:rPr>
      </w:pPr>
      <w:r w:rsidRPr="000E20CC">
        <w:rPr>
          <w:rFonts w:ascii="Tw Cen MT" w:hAnsi="Tw Cen MT"/>
          <w:sz w:val="26"/>
          <w:szCs w:val="26"/>
        </w:rPr>
        <w:t>Sinon négociation à l'amiable</w:t>
      </w:r>
    </w:p>
    <w:p w:rsidR="001B2FB5" w:rsidRPr="000E20CC" w:rsidRDefault="000E20CC">
      <w:pPr>
        <w:pStyle w:val="Titre1"/>
        <w:spacing w:after="590"/>
        <w:ind w:left="1157"/>
        <w:rPr>
          <w:rFonts w:ascii="Tw Cen MT" w:hAnsi="Tw Cen MT"/>
          <w:sz w:val="26"/>
          <w:szCs w:val="26"/>
        </w:rPr>
      </w:pPr>
      <w:r w:rsidRPr="000E20CC">
        <w:rPr>
          <w:rFonts w:ascii="Tw Cen MT" w:eastAsia="Times New Roman" w:hAnsi="Tw Cen MT" w:cs="Times New Roman"/>
          <w:sz w:val="26"/>
          <w:szCs w:val="26"/>
        </w:rPr>
        <w:t>c. Sinon le recours à la justice</w:t>
      </w:r>
    </w:p>
    <w:p w:rsidR="001B2FB5" w:rsidRPr="000E20CC" w:rsidRDefault="000E20CC" w:rsidP="000E20CC">
      <w:pPr>
        <w:spacing w:after="201"/>
        <w:jc w:val="center"/>
        <w:rPr>
          <w:rFonts w:ascii="Tw Cen MT" w:hAnsi="Tw Cen MT"/>
          <w:sz w:val="28"/>
          <w:szCs w:val="28"/>
        </w:rPr>
      </w:pPr>
      <w:r>
        <w:rPr>
          <w:rFonts w:ascii="Tw Cen MT" w:hAnsi="Tw Cen MT"/>
          <w:sz w:val="28"/>
          <w:szCs w:val="28"/>
        </w:rPr>
        <w:t>Fait le ……</w:t>
      </w:r>
    </w:p>
    <w:p w:rsidR="001B2FB5" w:rsidRPr="000E20CC" w:rsidRDefault="000E20CC">
      <w:pPr>
        <w:spacing w:after="300"/>
        <w:ind w:right="82"/>
        <w:jc w:val="right"/>
        <w:rPr>
          <w:rFonts w:ascii="Tw Cen MT" w:hAnsi="Tw Cen MT"/>
          <w:sz w:val="28"/>
          <w:szCs w:val="28"/>
        </w:rPr>
      </w:pPr>
      <w:r w:rsidRPr="000E20CC">
        <w:rPr>
          <w:rFonts w:ascii="Tw Cen MT" w:hAnsi="Tw Cen MT"/>
          <w:sz w:val="28"/>
          <w:szCs w:val="28"/>
        </w:rPr>
        <w:t>Signature Cachetée du Porteur du Projet</w:t>
      </w:r>
    </w:p>
    <w:p w:rsidR="001B2FB5" w:rsidRDefault="001B2FB5">
      <w:pPr>
        <w:spacing w:after="0"/>
        <w:ind w:left="5664"/>
      </w:pPr>
    </w:p>
    <w:sectPr w:rsidR="001B2FB5">
      <w:pgSz w:w="12240" w:h="16940"/>
      <w:pgMar w:top="1308" w:right="1666" w:bottom="2312"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553"/>
    <w:multiLevelType w:val="hybridMultilevel"/>
    <w:tmpl w:val="D0AAA354"/>
    <w:lvl w:ilvl="0" w:tplc="3FD2C230">
      <w:start w:val="1"/>
      <w:numFmt w:val="lowerLetter"/>
      <w:lvlText w:val="%1."/>
      <w:lvlJc w:val="left"/>
      <w:pPr>
        <w:ind w:left="14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AA6530C">
      <w:start w:val="1"/>
      <w:numFmt w:val="lowerLetter"/>
      <w:lvlText w:val="%2"/>
      <w:lvlJc w:val="left"/>
      <w:pPr>
        <w:ind w:left="2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2487CC6">
      <w:start w:val="1"/>
      <w:numFmt w:val="lowerRoman"/>
      <w:lvlText w:val="%3"/>
      <w:lvlJc w:val="left"/>
      <w:pPr>
        <w:ind w:left="2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50C7BA">
      <w:start w:val="1"/>
      <w:numFmt w:val="decimal"/>
      <w:lvlText w:val="%4"/>
      <w:lvlJc w:val="left"/>
      <w:pPr>
        <w:ind w:left="3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324DB8">
      <w:start w:val="1"/>
      <w:numFmt w:val="lowerLetter"/>
      <w:lvlText w:val="%5"/>
      <w:lvlJc w:val="left"/>
      <w:pPr>
        <w:ind w:left="4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42099C">
      <w:start w:val="1"/>
      <w:numFmt w:val="lowerRoman"/>
      <w:lvlText w:val="%6"/>
      <w:lvlJc w:val="left"/>
      <w:pPr>
        <w:ind w:left="5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A68B4A">
      <w:start w:val="1"/>
      <w:numFmt w:val="decimal"/>
      <w:lvlText w:val="%7"/>
      <w:lvlJc w:val="left"/>
      <w:pPr>
        <w:ind w:left="58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BE3010">
      <w:start w:val="1"/>
      <w:numFmt w:val="lowerLetter"/>
      <w:lvlText w:val="%8"/>
      <w:lvlJc w:val="left"/>
      <w:pPr>
        <w:ind w:left="6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59E7100">
      <w:start w:val="1"/>
      <w:numFmt w:val="lowerRoman"/>
      <w:lvlText w:val="%9"/>
      <w:lvlJc w:val="left"/>
      <w:pPr>
        <w:ind w:left="73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4690D"/>
    <w:multiLevelType w:val="hybridMultilevel"/>
    <w:tmpl w:val="E16CA754"/>
    <w:lvl w:ilvl="0" w:tplc="E048A490">
      <w:start w:val="1"/>
      <w:numFmt w:val="lowerLetter"/>
      <w:lvlText w:val="%1."/>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480DA">
      <w:start w:val="1"/>
      <w:numFmt w:val="lowerLetter"/>
      <w:lvlText w:val="%2"/>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E3B78">
      <w:start w:val="1"/>
      <w:numFmt w:val="lowerRoman"/>
      <w:lvlText w:val="%3"/>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62800">
      <w:start w:val="1"/>
      <w:numFmt w:val="decimal"/>
      <w:lvlText w:val="%4"/>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A4956">
      <w:start w:val="1"/>
      <w:numFmt w:val="lowerLetter"/>
      <w:lvlText w:val="%5"/>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C1B9C">
      <w:start w:val="1"/>
      <w:numFmt w:val="lowerRoman"/>
      <w:lvlText w:val="%6"/>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66984">
      <w:start w:val="1"/>
      <w:numFmt w:val="decimal"/>
      <w:lvlText w:val="%7"/>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075F8">
      <w:start w:val="1"/>
      <w:numFmt w:val="lowerLetter"/>
      <w:lvlText w:val="%8"/>
      <w:lvlJc w:val="left"/>
      <w:pPr>
        <w:ind w:left="6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0F000">
      <w:start w:val="1"/>
      <w:numFmt w:val="lowerRoman"/>
      <w:lvlText w:val="%9"/>
      <w:lvlJc w:val="left"/>
      <w:pPr>
        <w:ind w:left="7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775C7A"/>
    <w:multiLevelType w:val="hybridMultilevel"/>
    <w:tmpl w:val="FA1239FA"/>
    <w:lvl w:ilvl="0" w:tplc="B74ED9D4">
      <w:start w:val="1"/>
      <w:numFmt w:val="lowerLetter"/>
      <w:lvlText w:val="%1."/>
      <w:lvlJc w:val="left"/>
      <w:pPr>
        <w:ind w:left="1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3522816">
      <w:start w:val="1"/>
      <w:numFmt w:val="lowerLetter"/>
      <w:lvlText w:val="%2"/>
      <w:lvlJc w:val="left"/>
      <w:pPr>
        <w:ind w:left="2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8C0D42">
      <w:start w:val="1"/>
      <w:numFmt w:val="lowerRoman"/>
      <w:lvlText w:val="%3"/>
      <w:lvlJc w:val="left"/>
      <w:pPr>
        <w:ind w:left="2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889CA6">
      <w:start w:val="1"/>
      <w:numFmt w:val="decimal"/>
      <w:lvlText w:val="%4"/>
      <w:lvlJc w:val="left"/>
      <w:pPr>
        <w:ind w:left="3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FCBE04">
      <w:start w:val="1"/>
      <w:numFmt w:val="lowerLetter"/>
      <w:lvlText w:val="%5"/>
      <w:lvlJc w:val="left"/>
      <w:pPr>
        <w:ind w:left="4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C82E00">
      <w:start w:val="1"/>
      <w:numFmt w:val="lowerRoman"/>
      <w:lvlText w:val="%6"/>
      <w:lvlJc w:val="left"/>
      <w:pPr>
        <w:ind w:left="51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0CC58E">
      <w:start w:val="1"/>
      <w:numFmt w:val="decimal"/>
      <w:lvlText w:val="%7"/>
      <w:lvlJc w:val="left"/>
      <w:pPr>
        <w:ind w:left="58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B40EA46">
      <w:start w:val="1"/>
      <w:numFmt w:val="lowerLetter"/>
      <w:lvlText w:val="%8"/>
      <w:lvlJc w:val="left"/>
      <w:pPr>
        <w:ind w:left="65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C045602">
      <w:start w:val="1"/>
      <w:numFmt w:val="lowerRoman"/>
      <w:lvlText w:val="%9"/>
      <w:lvlJc w:val="left"/>
      <w:pPr>
        <w:ind w:left="7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CC27A6"/>
    <w:multiLevelType w:val="hybridMultilevel"/>
    <w:tmpl w:val="A6CA15A0"/>
    <w:lvl w:ilvl="0" w:tplc="F1C0E55A">
      <w:start w:val="1"/>
      <w:numFmt w:val="lowerLetter"/>
      <w:lvlText w:val="%1."/>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4BC84">
      <w:start w:val="1"/>
      <w:numFmt w:val="lowerLetter"/>
      <w:lvlText w:val="%2"/>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A1E84">
      <w:start w:val="1"/>
      <w:numFmt w:val="lowerRoman"/>
      <w:lvlText w:val="%3"/>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623BE">
      <w:start w:val="1"/>
      <w:numFmt w:val="decimal"/>
      <w:lvlText w:val="%4"/>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C7868">
      <w:start w:val="1"/>
      <w:numFmt w:val="lowerLetter"/>
      <w:lvlText w:val="%5"/>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618F6">
      <w:start w:val="1"/>
      <w:numFmt w:val="lowerRoman"/>
      <w:lvlText w:val="%6"/>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663F0">
      <w:start w:val="1"/>
      <w:numFmt w:val="decimal"/>
      <w:lvlText w:val="%7"/>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47932">
      <w:start w:val="1"/>
      <w:numFmt w:val="lowerLetter"/>
      <w:lvlText w:val="%8"/>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3864">
      <w:start w:val="1"/>
      <w:numFmt w:val="lowerRoman"/>
      <w:lvlText w:val="%9"/>
      <w:lvlJc w:val="left"/>
      <w:pPr>
        <w:ind w:left="7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B5"/>
    <w:rsid w:val="000E20CC"/>
    <w:rsid w:val="001B2FB5"/>
    <w:rsid w:val="008C38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0071"/>
  <w15:docId w15:val="{4993A287-8831-433F-AB2C-01CC3676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429" w:line="265" w:lineRule="auto"/>
      <w:ind w:left="461" w:hanging="10"/>
      <w:outlineLvl w:val="0"/>
    </w:pPr>
    <w:rPr>
      <w:rFonts w:ascii="Courier New" w:eastAsia="Courier New" w:hAnsi="Courier New" w:cs="Courier New"/>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Alaoui medaghri Mohammed</dc:creator>
  <cp:keywords/>
  <cp:lastModifiedBy>Alaoui medaghri Mohammed</cp:lastModifiedBy>
  <cp:revision>2</cp:revision>
  <dcterms:created xsi:type="dcterms:W3CDTF">2020-12-04T13:57:00Z</dcterms:created>
  <dcterms:modified xsi:type="dcterms:W3CDTF">2020-12-04T13:57:00Z</dcterms:modified>
</cp:coreProperties>
</file>